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189"/>
        <w:gridCol w:w="1164"/>
        <w:gridCol w:w="395"/>
        <w:gridCol w:w="1865"/>
        <w:gridCol w:w="687"/>
        <w:gridCol w:w="30"/>
        <w:gridCol w:w="621"/>
        <w:gridCol w:w="1050"/>
        <w:gridCol w:w="1421"/>
      </w:tblGrid>
      <w:tr w:rsidR="00B75E5B" w:rsidRPr="00D11621" w:rsidTr="005749A7">
        <w:trPr>
          <w:cantSplit/>
          <w:trHeight w:val="459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Course details</w:t>
            </w:r>
          </w:p>
        </w:tc>
      </w:tr>
      <w:tr w:rsidR="009C350C" w:rsidRPr="00D11621" w:rsidTr="005749A7">
        <w:trPr>
          <w:cantSplit/>
          <w:trHeight w:val="42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Title</w:t>
            </w:r>
            <w:r w:rsidR="008162CB">
              <w:rPr>
                <w:rFonts w:ascii="Arial" w:hAnsi="Arial" w:cs="Arial"/>
                <w:color w:val="000000" w:themeColor="text1"/>
                <w:lang w:val="en-GB"/>
              </w:rPr>
              <w:t xml:space="preserve"> (This must be the marketing title of the course – whatever is used in a brochure to advertise the course)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A47A1D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Behaviour that Challenges in Children</w:t>
            </w:r>
          </w:p>
        </w:tc>
      </w:tr>
      <w:tr w:rsidR="000230D9" w:rsidRPr="00D11621" w:rsidTr="005749A7">
        <w:trPr>
          <w:cantSplit/>
          <w:trHeight w:val="42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30D9" w:rsidRPr="00D11621" w:rsidRDefault="000230D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Award to be received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30D9" w:rsidRPr="00D11621" w:rsidRDefault="005F6DE9" w:rsidP="00A47A1D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Level 2 Certificate</w:t>
            </w:r>
            <w:r w:rsidR="0017167C">
              <w:rPr>
                <w:rFonts w:ascii="Arial" w:hAnsi="Arial" w:cs="Arial"/>
                <w:color w:val="000000" w:themeColor="text1"/>
                <w:lang w:val="en-GB"/>
              </w:rPr>
              <w:t xml:space="preserve"> in </w:t>
            </w:r>
            <w:r w:rsidR="00A47A1D">
              <w:rPr>
                <w:rFonts w:ascii="Arial" w:hAnsi="Arial" w:cs="Arial"/>
                <w:color w:val="000000" w:themeColor="text1"/>
                <w:lang w:val="en-GB"/>
              </w:rPr>
              <w:t>Behaviour that Challenges in Children</w:t>
            </w:r>
            <w:r w:rsidR="00496F2A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</w:p>
        </w:tc>
      </w:tr>
      <w:tr w:rsidR="008C1B47" w:rsidRPr="00D11621" w:rsidTr="005749A7">
        <w:trPr>
          <w:cantSplit/>
          <w:trHeight w:val="42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1B47" w:rsidRDefault="008C1B47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Regulatory body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1B47" w:rsidRPr="00D11621" w:rsidRDefault="0017167C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TQUK</w:t>
            </w:r>
          </w:p>
        </w:tc>
      </w:tr>
      <w:tr w:rsidR="009C350C" w:rsidRPr="00D11621" w:rsidTr="005749A7">
        <w:trPr>
          <w:cantSplit/>
          <w:trHeight w:val="416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9C350C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Qualification (A-</w:t>
            </w:r>
            <w:r w:rsidR="009C350C">
              <w:rPr>
                <w:rFonts w:ascii="Arial" w:hAnsi="Arial" w:cs="Arial"/>
                <w:color w:val="000000" w:themeColor="text1"/>
                <w:lang w:val="en-GB"/>
              </w:rPr>
              <w:t>L</w:t>
            </w: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evel/BTEC</w:t>
            </w:r>
            <w:r w:rsidR="009C350C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C40C10" w:rsidRPr="00D11621">
              <w:rPr>
                <w:rFonts w:ascii="Arial" w:hAnsi="Arial" w:cs="Arial"/>
                <w:color w:val="000000" w:themeColor="text1"/>
                <w:lang w:val="en-GB"/>
              </w:rPr>
              <w:t>Diploma</w:t>
            </w: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/HND/</w:t>
            </w:r>
            <w:proofErr w:type="spellStart"/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etc</w:t>
            </w:r>
            <w:proofErr w:type="spellEnd"/>
            <w:r w:rsidR="00C40C10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 – </w:t>
            </w:r>
            <w:r w:rsidR="00C40C10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>not awarding body</w:t>
            </w:r>
            <w:r w:rsidR="00C40C10" w:rsidRPr="00D11621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5F6DE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Level 2 Certificate</w:t>
            </w:r>
          </w:p>
        </w:tc>
      </w:tr>
      <w:tr w:rsidR="009C350C" w:rsidRPr="00D11621" w:rsidTr="005749A7">
        <w:trPr>
          <w:cantSplit/>
          <w:trHeight w:val="416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Subject Area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5F6DE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Health and Social Care, Education</w:t>
            </w:r>
          </w:p>
        </w:tc>
      </w:tr>
      <w:tr w:rsidR="009C350C" w:rsidRPr="00D11621" w:rsidTr="005749A7">
        <w:trPr>
          <w:cantSplit/>
          <w:trHeight w:val="416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Level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5F6DE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2</w:t>
            </w:r>
          </w:p>
        </w:tc>
      </w:tr>
      <w:tr w:rsidR="009C350C" w:rsidRPr="00D11621" w:rsidTr="005749A7">
        <w:trPr>
          <w:cantSplit/>
          <w:trHeight w:val="421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UCAS Points value (if applicable)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C350C" w:rsidRPr="00D11621" w:rsidTr="005749A7">
        <w:trPr>
          <w:cantSplit/>
          <w:trHeight w:val="41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8162CB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Duration</w:t>
            </w:r>
            <w:r w:rsidR="005D2A42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5D2A42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(in years apart from short </w:t>
            </w:r>
            <w:r w:rsidR="008162CB">
              <w:rPr>
                <w:rFonts w:ascii="Arial" w:hAnsi="Arial" w:cs="Arial"/>
                <w:b/>
                <w:color w:val="000000" w:themeColor="text1"/>
                <w:lang w:val="en-GB"/>
              </w:rPr>
              <w:t>courses</w:t>
            </w:r>
            <w:r w:rsidR="005D2A42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>)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5F6DE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16 weeks</w:t>
            </w:r>
          </w:p>
        </w:tc>
      </w:tr>
      <w:tr w:rsidR="00A81009" w:rsidRPr="00D11621" w:rsidTr="005749A7">
        <w:trPr>
          <w:cantSplit/>
          <w:trHeight w:val="41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1009" w:rsidRPr="00D11621" w:rsidRDefault="00A81009" w:rsidP="008162CB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Start Date 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1009" w:rsidRPr="00D11621" w:rsidRDefault="00A8100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C350C" w:rsidRPr="00D11621" w:rsidTr="005749A7">
        <w:trPr>
          <w:cantSplit/>
          <w:trHeight w:val="230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5749A7">
        <w:trPr>
          <w:cantSplit/>
          <w:trHeight w:val="413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UCAS details (Full time HE only)</w:t>
            </w:r>
          </w:p>
        </w:tc>
      </w:tr>
      <w:tr w:rsidR="009C350C" w:rsidRPr="00D11621" w:rsidTr="005749A7">
        <w:trPr>
          <w:cantSplit/>
          <w:trHeight w:val="790"/>
          <w:jc w:val="center"/>
        </w:trPr>
        <w:tc>
          <w:tcPr>
            <w:tcW w:w="261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Institution Code Name</w:t>
            </w: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Institution Code</w:t>
            </w:r>
          </w:p>
        </w:tc>
        <w:tc>
          <w:tcPr>
            <w:tcW w:w="3203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Course/Campus Code</w:t>
            </w:r>
          </w:p>
        </w:tc>
        <w:tc>
          <w:tcPr>
            <w:tcW w:w="2471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Short Form Title</w:t>
            </w:r>
          </w:p>
        </w:tc>
      </w:tr>
      <w:tr w:rsidR="009C350C" w:rsidRPr="00D11621" w:rsidTr="005749A7">
        <w:trPr>
          <w:cantSplit/>
          <w:trHeight w:val="413"/>
          <w:jc w:val="center"/>
        </w:trPr>
        <w:tc>
          <w:tcPr>
            <w:tcW w:w="261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C350C" w:rsidRPr="00D11621" w:rsidTr="005749A7">
        <w:trPr>
          <w:cantSplit/>
          <w:trHeight w:val="413"/>
          <w:jc w:val="center"/>
        </w:trPr>
        <w:tc>
          <w:tcPr>
            <w:tcW w:w="261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KIS Institution</w:t>
            </w: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KIS Course Code</w:t>
            </w:r>
          </w:p>
        </w:tc>
        <w:tc>
          <w:tcPr>
            <w:tcW w:w="2471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172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420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9C350C" w:rsidRDefault="00D11621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C350C">
              <w:rPr>
                <w:rFonts w:ascii="Arial" w:hAnsi="Arial" w:cs="Arial"/>
                <w:b/>
                <w:color w:val="FFFFFF" w:themeColor="background1"/>
                <w:lang w:val="en-GB"/>
              </w:rPr>
              <w:t>Attendance details (delete as appropriate)</w:t>
            </w:r>
          </w:p>
        </w:tc>
      </w:tr>
      <w:tr w:rsidR="00D11621" w:rsidRPr="00D11621" w:rsidTr="005749A7">
        <w:trPr>
          <w:cantSplit/>
          <w:trHeight w:val="420"/>
          <w:jc w:val="center"/>
        </w:trPr>
        <w:tc>
          <w:tcPr>
            <w:tcW w:w="3783" w:type="dxa"/>
            <w:gridSpan w:val="3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Distance Learning</w:t>
            </w:r>
          </w:p>
        </w:tc>
        <w:tc>
          <w:tcPr>
            <w:tcW w:w="2977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96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403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9C350C" w:rsidRDefault="00D11621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C350C">
              <w:rPr>
                <w:rFonts w:ascii="Arial" w:hAnsi="Arial" w:cs="Arial"/>
                <w:b/>
                <w:color w:val="FFFFFF" w:themeColor="background1"/>
                <w:lang w:val="en-GB"/>
              </w:rPr>
              <w:t>Location (delete as appropriate)</w:t>
            </w:r>
          </w:p>
        </w:tc>
      </w:tr>
      <w:tr w:rsidR="009C350C" w:rsidRPr="00D11621" w:rsidTr="005749A7">
        <w:trPr>
          <w:gridAfter w:val="5"/>
          <w:wAfter w:w="3809" w:type="dxa"/>
          <w:cantSplit/>
          <w:trHeight w:val="463"/>
          <w:jc w:val="center"/>
        </w:trPr>
        <w:tc>
          <w:tcPr>
            <w:tcW w:w="143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50C" w:rsidRPr="00D11621" w:rsidRDefault="009C350C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50C" w:rsidRPr="00D11621" w:rsidRDefault="009C350C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50C" w:rsidRPr="00D11621" w:rsidRDefault="009C350C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865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50C" w:rsidRPr="00D11621" w:rsidRDefault="009C350C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204B20" w:rsidRPr="00D11621" w:rsidTr="005749A7">
        <w:trPr>
          <w:gridAfter w:val="1"/>
          <w:wAfter w:w="1421" w:type="dxa"/>
          <w:cantSplit/>
          <w:trHeight w:val="413"/>
          <w:jc w:val="center"/>
        </w:trPr>
        <w:tc>
          <w:tcPr>
            <w:tcW w:w="261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B20" w:rsidRPr="00D11621" w:rsidRDefault="00204B20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Distance Learning</w:t>
            </w: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B20" w:rsidRPr="00D11621" w:rsidRDefault="00204B20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B20" w:rsidRPr="00D11621" w:rsidRDefault="00204B20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B20" w:rsidRPr="00D11621" w:rsidRDefault="00204B20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2378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8C1B47" w:rsidRPr="008C1B47" w:rsidRDefault="008C1B47" w:rsidP="008C1B47">
            <w:pPr>
              <w:rPr>
                <w:lang w:eastAsia="en-US" w:bidi="en-US"/>
              </w:rPr>
            </w:pPr>
          </w:p>
        </w:tc>
      </w:tr>
    </w:tbl>
    <w:p w:rsidR="00B55316" w:rsidRPr="00D11621" w:rsidRDefault="00B55316">
      <w:pPr>
        <w:rPr>
          <w:color w:val="000000" w:themeColor="text1"/>
        </w:rPr>
      </w:pPr>
    </w:p>
    <w:tbl>
      <w:tblPr>
        <w:tblW w:w="9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0"/>
        <w:gridCol w:w="5532"/>
      </w:tblGrid>
      <w:tr w:rsidR="00B75E5B" w:rsidRPr="00D11621" w:rsidTr="009C350C">
        <w:trPr>
          <w:cantSplit/>
          <w:trHeight w:val="471"/>
          <w:jc w:val="center"/>
        </w:trPr>
        <w:tc>
          <w:tcPr>
            <w:tcW w:w="9852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vAlign w:val="center"/>
          </w:tcPr>
          <w:p w:rsidR="00B75E5B" w:rsidRPr="009C350C" w:rsidRDefault="00B75E5B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C350C">
              <w:rPr>
                <w:rFonts w:ascii="Arial" w:hAnsi="Arial" w:cs="Arial"/>
                <w:b/>
                <w:color w:val="FFFFFF" w:themeColor="background1"/>
                <w:lang w:val="en-GB"/>
              </w:rPr>
              <w:t>Course information</w:t>
            </w:r>
          </w:p>
        </w:tc>
      </w:tr>
      <w:tr w:rsidR="00B75E5B" w:rsidRPr="00D11621" w:rsidTr="009C350C">
        <w:trPr>
          <w:cantSplit/>
          <w:trHeight w:val="540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Who is this course for?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A47A1D" w:rsidRPr="00A47A1D" w:rsidRDefault="00A47A1D" w:rsidP="00A47A1D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This qualification i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 xml:space="preserve">s aimed at anyone who wishes to 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develop an in-de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 xml:space="preserve">pth knowledge of behaviour that 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 xml:space="preserve">challenges in children in order to 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 xml:space="preserve">progress into related 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employment in educ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 xml:space="preserve">ation or health and social care 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settings. Anyone who c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 xml:space="preserve">urrently works in the education 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 xml:space="preserve">and health and social 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 xml:space="preserve">care sectors would also benefit 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from the course, as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 xml:space="preserve"> well as anyone with a personal 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need for, or interest in, more detailed knowledge of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 xml:space="preserve">behaviour that challenges in children. </w:t>
            </w:r>
          </w:p>
          <w:p w:rsidR="006217C9" w:rsidRPr="006217C9" w:rsidRDefault="006217C9" w:rsidP="00A47A1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75E5B" w:rsidRPr="00D11621" w:rsidTr="00546993">
        <w:trPr>
          <w:cantSplit/>
          <w:trHeight w:val="861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trHeight w:val="850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What do they need to apply for the course?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C53B16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No previous knowledge and experience are required, however, minimum level 1 English skills would be beneficial for completion of assessments.</w:t>
            </w:r>
          </w:p>
        </w:tc>
      </w:tr>
      <w:tr w:rsidR="00B75E5B" w:rsidRPr="00D11621" w:rsidTr="009C350C">
        <w:trPr>
          <w:cantSplit/>
          <w:trHeight w:val="645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trHeight w:val="618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8C1B47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What a</w:t>
            </w:r>
            <w:r w:rsidR="00E1044C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re the key things they’ll learn </w:t>
            </w:r>
            <w:r w:rsidR="00E1044C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>(</w:t>
            </w:r>
            <w:r w:rsidR="008C1B47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>this must include the core modules)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4538E1" w:rsidRPr="004538E1" w:rsidRDefault="004538E1" w:rsidP="004538E1">
            <w:pPr>
              <w:spacing w:after="15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>Unit 1: Awareness of behaviour that challenges in children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lastRenderedPageBreak/>
              <w:t>  Section 1: Understand what is meant by behaviour that challenges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  Section 2: Understand who may experience behaviour that challenges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  Section 3: Know how behaviour that challenges can be assessed in children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proofErr w:type="gramStart"/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  Section</w:t>
            </w:r>
            <w:proofErr w:type="gramEnd"/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4: Understand the impact behaviour that challenges can have.</w:t>
            </w:r>
          </w:p>
          <w:p w:rsidR="004538E1" w:rsidRPr="004538E1" w:rsidRDefault="004538E1" w:rsidP="004538E1">
            <w:pPr>
              <w:spacing w:after="15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>Unit 2: Principles of intervention when working with behaviour that challenges in children and young people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  Section 1: Understand how strategies can help promote positive behaviour 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  Section 2: Understand how to record incidents 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  Section 3: Know how to avoid behaviour that challenges in children 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proofErr w:type="gramStart"/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  Section</w:t>
            </w:r>
            <w:proofErr w:type="gramEnd"/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4: Know the importance of safe physical intervention. </w:t>
            </w:r>
          </w:p>
          <w:p w:rsidR="004538E1" w:rsidRPr="004538E1" w:rsidRDefault="004538E1" w:rsidP="004538E1">
            <w:pPr>
              <w:spacing w:after="15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>Unit 3: Behaviour that challenges and mental health in children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  Section 1: Understand the characteristics of mental health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  Section 2: Understand how UK legislation can support the human rights of children with a mental health condition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  Section 3: Know how mental health affects behaviours that challenge in children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proofErr w:type="gramStart"/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  Section</w:t>
            </w:r>
            <w:proofErr w:type="gramEnd"/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4: Know how to support children with a mental health condition experiencing behaviour that challenges.</w:t>
            </w:r>
          </w:p>
          <w:p w:rsidR="004538E1" w:rsidRPr="004538E1" w:rsidRDefault="004538E1" w:rsidP="004538E1">
            <w:pPr>
              <w:spacing w:after="15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>Unit 4: Behaviour that challenges and learning disabilities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  Section 1: Understand the characteristics of learning disabilities 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  Section 2: Understand how UK legislation can support the human rights of children with a learning disability 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  Section 3: Understand typical behaviour that challenges expressed by those with a learning disability 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proofErr w:type="gramStart"/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  Section</w:t>
            </w:r>
            <w:proofErr w:type="gramEnd"/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4: Know how to support children with a learning disability experiencing behaviour that challenges.</w:t>
            </w:r>
          </w:p>
          <w:p w:rsidR="004538E1" w:rsidRPr="004538E1" w:rsidRDefault="004538E1" w:rsidP="004538E1">
            <w:pPr>
              <w:spacing w:after="15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>Unit 5: Behaviour that challenges, sensory issues and autism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  Section 1: Understand the characteristics of sensory issues and autism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  Section 2: Understand how UK legislation can support the human rights of children with sensory issues and autism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  Section 3: Understand typical behaviour that challenges in children expressed by those with sensory issues and autism</w:t>
            </w:r>
          </w:p>
          <w:p w:rsidR="004538E1" w:rsidRPr="004538E1" w:rsidRDefault="004538E1" w:rsidP="004538E1">
            <w:pPr>
              <w:spacing w:after="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proofErr w:type="gramStart"/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  Section</w:t>
            </w:r>
            <w:proofErr w:type="gramEnd"/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4: Know how to support children with sensory issues and autism experiencing behaviour that challenges.</w:t>
            </w:r>
          </w:p>
          <w:p w:rsidR="004538E1" w:rsidRPr="004538E1" w:rsidRDefault="004538E1" w:rsidP="004538E1">
            <w:pPr>
              <w:spacing w:after="15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>Unit 6: Legislation supporting behaviour that challenges in children</w:t>
            </w:r>
          </w:p>
          <w:p w:rsidR="004538E1" w:rsidRPr="004538E1" w:rsidRDefault="004538E1" w:rsidP="004538E1">
            <w:pPr>
              <w:spacing w:after="1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4538E1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  Section 1: Understand legislation supporting behaviour that challenges in children</w:t>
            </w:r>
          </w:p>
          <w:p w:rsidR="00B75E5B" w:rsidRPr="004538E1" w:rsidRDefault="004538E1" w:rsidP="004538E1">
            <w:pPr>
              <w:pStyle w:val="IntenseQuote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4538E1">
              <w:rPr>
                <w:rFonts w:ascii="Arial" w:hAnsi="Arial" w:cs="Arial"/>
                <w:iCs w:val="0"/>
                <w:color w:val="333333"/>
                <w:sz w:val="20"/>
                <w:szCs w:val="20"/>
                <w:lang w:val="en-GB" w:eastAsia="en-GB" w:bidi="ar-SA"/>
              </w:rPr>
              <w:t>  Section</w:t>
            </w:r>
            <w:proofErr w:type="gramEnd"/>
            <w:r w:rsidRPr="004538E1">
              <w:rPr>
                <w:rFonts w:ascii="Arial" w:hAnsi="Arial" w:cs="Arial"/>
                <w:iCs w:val="0"/>
                <w:color w:val="333333"/>
                <w:sz w:val="20"/>
                <w:szCs w:val="20"/>
                <w:lang w:val="en-GB" w:eastAsia="en-GB" w:bidi="ar-SA"/>
              </w:rPr>
              <w:t xml:space="preserve"> 2: Understand wider support available when working with children with behaviour that challenges.</w:t>
            </w:r>
          </w:p>
        </w:tc>
      </w:tr>
      <w:tr w:rsidR="00B75E5B" w:rsidRPr="00D11621" w:rsidTr="009C350C">
        <w:trPr>
          <w:cantSplit/>
          <w:trHeight w:val="405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trHeight w:val="1338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How will they learn?</w:t>
            </w:r>
          </w:p>
          <w:p w:rsidR="00B75E5B" w:rsidRPr="00D11621" w:rsidRDefault="00B75E5B" w:rsidP="00204B2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(Practical/theory/classroom/workplace</w:t>
            </w:r>
            <w:r w:rsidR="00E1044C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 –</w:t>
            </w:r>
            <w:r w:rsidR="008C1B47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8C1B47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>Must include methods of assessment. Also</w:t>
            </w:r>
            <w:r w:rsidR="00E1044C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include details of number of assessments/exams</w:t>
            </w:r>
            <w:r w:rsidR="008C1B47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&amp; self-study time</w:t>
            </w:r>
            <w:r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>)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Studying via distance learning means you can choose</w:t>
            </w:r>
          </w:p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when and where you study. We ensure you get all the</w:t>
            </w:r>
          </w:p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support you need throughout your course in the form of</w:t>
            </w:r>
          </w:p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a personal tutor and a learner support advisor.</w:t>
            </w:r>
          </w:p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This course is available:</w:t>
            </w:r>
          </w:p>
          <w:p w:rsidR="00B75E5B" w:rsidRDefault="006217C9" w:rsidP="006217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HelveticaNeueLTPro-Hv" w:hAnsi="HelveticaNeueLTPro-Hv" w:cs="HelveticaNeueLTPro-Hv"/>
                <w:b/>
                <w:color w:val="262626"/>
                <w:sz w:val="20"/>
                <w:szCs w:val="20"/>
              </w:rPr>
            </w:pPr>
            <w:r w:rsidRPr="006217C9">
              <w:rPr>
                <w:rFonts w:ascii="HelveticaNeueLTPro-Hv" w:hAnsi="HelveticaNeueLTPro-Hv" w:cs="HelveticaNeueLTPro-Hv"/>
                <w:b/>
                <w:color w:val="262626"/>
                <w:sz w:val="20"/>
                <w:szCs w:val="20"/>
              </w:rPr>
              <w:t>Fully on line</w:t>
            </w:r>
          </w:p>
          <w:p w:rsidR="006217C9" w:rsidRPr="006217C9" w:rsidRDefault="006217C9" w:rsidP="006217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All of our award-winning learning resources are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of the highest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 xml:space="preserve"> quality and are designed to be 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engaging and int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 xml:space="preserve">eractive to keep you focused on </w:t>
            </w: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your learning at all times.</w:t>
            </w:r>
          </w:p>
        </w:tc>
      </w:tr>
      <w:tr w:rsidR="00B75E5B" w:rsidRPr="00D11621" w:rsidTr="009C350C">
        <w:trPr>
          <w:cantSplit/>
          <w:trHeight w:val="100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E1044C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lastRenderedPageBreak/>
              <w:t>Where could the course take them? (</w:t>
            </w:r>
            <w:r w:rsidR="00E1044C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>Must include course progression routes and career options including average salary</w:t>
            </w: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C53B16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t xml:space="preserve">After successfully completing the course </w:t>
            </w:r>
            <w:r w:rsidRPr="001F62E9">
              <w:t>candidates will be able to</w:t>
            </w:r>
            <w:r>
              <w:t xml:space="preserve"> </w:t>
            </w:r>
            <w:r w:rsidRPr="001F62E9">
              <w:t>further their own continuous professional development, which may improve their career prospects or progress to further training.</w:t>
            </w:r>
            <w:r>
              <w:t xml:space="preserve"> You could also progress on to further study in the field or other Distance Learning </w:t>
            </w:r>
            <w:proofErr w:type="spellStart"/>
            <w:r>
              <w:t>programmes</w:t>
            </w:r>
            <w:proofErr w:type="spellEnd"/>
            <w:r>
              <w:t>.</w:t>
            </w:r>
          </w:p>
        </w:tc>
      </w:tr>
      <w:tr w:rsidR="00B75E5B" w:rsidRPr="00D11621" w:rsidTr="009C350C">
        <w:trPr>
          <w:cantSplit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8C1B47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What costs will they incur? (If applicable</w:t>
            </w:r>
            <w:r w:rsidR="00E1044C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 – </w:t>
            </w:r>
            <w:r w:rsidR="008C1B47">
              <w:rPr>
                <w:rFonts w:ascii="Arial" w:hAnsi="Arial" w:cs="Arial"/>
                <w:b/>
                <w:color w:val="000000" w:themeColor="text1"/>
                <w:lang w:val="en-GB"/>
              </w:rPr>
              <w:t>tuition fees,</w:t>
            </w:r>
            <w:r w:rsidR="00E1044C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mater</w:t>
            </w:r>
            <w:r w:rsidR="008C1B47">
              <w:rPr>
                <w:rFonts w:ascii="Arial" w:hAnsi="Arial" w:cs="Arial"/>
                <w:b/>
                <w:color w:val="000000" w:themeColor="text1"/>
                <w:lang w:val="en-GB"/>
              </w:rPr>
              <w:t>ials and course expenditure including field trips optional and mandatory</w:t>
            </w: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C53B16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N/A</w:t>
            </w:r>
          </w:p>
        </w:tc>
      </w:tr>
      <w:tr w:rsidR="00B75E5B" w:rsidRPr="00D11621" w:rsidTr="009C350C">
        <w:trPr>
          <w:cantSplit/>
          <w:trHeight w:val="72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Previous student comment (if available)</w:t>
            </w:r>
          </w:p>
        </w:tc>
        <w:tc>
          <w:tcPr>
            <w:tcW w:w="5532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C53B16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New Course</w:t>
            </w:r>
          </w:p>
        </w:tc>
      </w:tr>
      <w:tr w:rsidR="00B75E5B" w:rsidRPr="00D11621" w:rsidTr="009C350C">
        <w:trPr>
          <w:cantSplit/>
          <w:trHeight w:val="665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Previous student name and status</w:t>
            </w:r>
          </w:p>
        </w:tc>
        <w:tc>
          <w:tcPr>
            <w:tcW w:w="5532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825CD4" w:rsidRDefault="00825CD4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Pr="00386C19" w:rsidRDefault="00386C19" w:rsidP="00825CD4">
      <w:pPr>
        <w:rPr>
          <w:color w:val="auto"/>
        </w:rPr>
      </w:pPr>
      <w:r w:rsidRPr="00386C19">
        <w:rPr>
          <w:color w:val="auto"/>
        </w:rPr>
        <w:t>For HE Courses, Marketing will insert links at the bottom for:</w:t>
      </w:r>
    </w:p>
    <w:p w:rsidR="00825CD4" w:rsidRPr="00386C19" w:rsidRDefault="00825CD4" w:rsidP="00825CD4">
      <w:pPr>
        <w:rPr>
          <w:rFonts w:ascii="Calibri" w:hAnsi="Calibri"/>
          <w:color w:val="auto"/>
          <w:szCs w:val="22"/>
        </w:rPr>
      </w:pPr>
      <w:r w:rsidRPr="00386C19">
        <w:rPr>
          <w:color w:val="auto"/>
        </w:rPr>
        <w:t xml:space="preserve">Student Support </w:t>
      </w:r>
    </w:p>
    <w:p w:rsidR="00386C19" w:rsidRPr="00386C19" w:rsidRDefault="00386C19" w:rsidP="00386C19">
      <w:pPr>
        <w:rPr>
          <w:color w:val="auto"/>
        </w:rPr>
      </w:pPr>
      <w:r w:rsidRPr="00386C19">
        <w:rPr>
          <w:color w:val="auto"/>
        </w:rPr>
        <w:t xml:space="preserve">Complaints Procedure </w:t>
      </w:r>
    </w:p>
    <w:p w:rsidR="00825CD4" w:rsidRPr="00386C19" w:rsidRDefault="00825CD4" w:rsidP="00825CD4">
      <w:pPr>
        <w:rPr>
          <w:color w:val="auto"/>
        </w:rPr>
      </w:pPr>
      <w:r w:rsidRPr="00386C19">
        <w:rPr>
          <w:color w:val="auto"/>
        </w:rPr>
        <w:t xml:space="preserve">Minimum Cohorts and Closing of Programmes </w:t>
      </w:r>
    </w:p>
    <w:p w:rsidR="009453CF" w:rsidRDefault="009453CF" w:rsidP="00825CD4">
      <w:pPr>
        <w:rPr>
          <w:color w:val="FF0000"/>
        </w:rPr>
      </w:pPr>
    </w:p>
    <w:p w:rsidR="009453CF" w:rsidRDefault="009453CF" w:rsidP="00825CD4">
      <w:pPr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7D23B772" wp14:editId="5DFE5851">
            <wp:extent cx="5270500" cy="1340485"/>
            <wp:effectExtent l="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3CF" w:rsidRDefault="009453CF" w:rsidP="00825CD4">
      <w:pPr>
        <w:rPr>
          <w:color w:val="FF0000"/>
        </w:rPr>
      </w:pPr>
      <w:r>
        <w:rPr>
          <w:noProof/>
          <w:lang w:eastAsia="en-GB"/>
        </w:rPr>
        <w:lastRenderedPageBreak/>
        <w:drawing>
          <wp:inline distT="0" distB="0" distL="0" distR="0" wp14:anchorId="3F7D556A" wp14:editId="46429BEC">
            <wp:extent cx="5200000" cy="258095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3CF" w:rsidRPr="006B1C7E" w:rsidRDefault="009453CF" w:rsidP="00825CD4">
      <w:pPr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7C5A6073" wp14:editId="630C7852">
            <wp:extent cx="5270500" cy="491490"/>
            <wp:effectExtent l="0" t="0" r="6350" b="381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CE8" w:rsidRDefault="00B52CE8" w:rsidP="00204B20">
      <w:pPr>
        <w:rPr>
          <w:rFonts w:cs="Arial"/>
          <w:color w:val="000000" w:themeColor="text1"/>
        </w:rPr>
      </w:pPr>
    </w:p>
    <w:p w:rsidR="00035535" w:rsidRDefault="00035535" w:rsidP="00204B20">
      <w:pPr>
        <w:rPr>
          <w:rFonts w:cs="Arial"/>
          <w:color w:val="000000" w:themeColor="text1"/>
        </w:rPr>
      </w:pPr>
    </w:p>
    <w:p w:rsidR="00035535" w:rsidRPr="00D11621" w:rsidRDefault="00035535" w:rsidP="00204B20">
      <w:pPr>
        <w:rPr>
          <w:rFonts w:cs="Arial"/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52C770D7" wp14:editId="62ED8A1E">
            <wp:extent cx="5270500" cy="2210435"/>
            <wp:effectExtent l="0" t="0" r="635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535" w:rsidRPr="00D11621" w:rsidSect="008C1B47">
      <w:headerReference w:type="default" r:id="rId12"/>
      <w:pgSz w:w="11900" w:h="16840"/>
      <w:pgMar w:top="993" w:right="1800" w:bottom="42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B4" w:rsidRDefault="004E00B4" w:rsidP="00141F6F">
      <w:pPr>
        <w:spacing w:after="0"/>
      </w:pPr>
      <w:r>
        <w:separator/>
      </w:r>
    </w:p>
  </w:endnote>
  <w:endnote w:type="continuationSeparator" w:id="0">
    <w:p w:rsidR="004E00B4" w:rsidRDefault="004E00B4" w:rsidP="00141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B4" w:rsidRDefault="004E00B4" w:rsidP="00141F6F">
      <w:pPr>
        <w:spacing w:after="0"/>
      </w:pPr>
      <w:r>
        <w:separator/>
      </w:r>
    </w:p>
  </w:footnote>
  <w:footnote w:type="continuationSeparator" w:id="0">
    <w:p w:rsidR="004E00B4" w:rsidRDefault="004E00B4" w:rsidP="00141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47" w:rsidRDefault="00405347" w:rsidP="00405347">
    <w:pPr>
      <w:pStyle w:val="Header"/>
      <w:tabs>
        <w:tab w:val="left" w:pos="5812"/>
      </w:tabs>
    </w:pPr>
    <w:r>
      <w:t>Version #</w:t>
    </w:r>
  </w:p>
  <w:p w:rsidR="002B0437" w:rsidRDefault="002B0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6D90"/>
    <w:multiLevelType w:val="hybridMultilevel"/>
    <w:tmpl w:val="42F6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C3139"/>
    <w:multiLevelType w:val="hybridMultilevel"/>
    <w:tmpl w:val="1088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0"/>
    <w:rsid w:val="000230D9"/>
    <w:rsid w:val="00035535"/>
    <w:rsid w:val="00141F6F"/>
    <w:rsid w:val="00142357"/>
    <w:rsid w:val="0017167C"/>
    <w:rsid w:val="001D74D7"/>
    <w:rsid w:val="00204B20"/>
    <w:rsid w:val="002A4309"/>
    <w:rsid w:val="002B0437"/>
    <w:rsid w:val="002C5B35"/>
    <w:rsid w:val="00386C19"/>
    <w:rsid w:val="00405347"/>
    <w:rsid w:val="004371A7"/>
    <w:rsid w:val="004538E1"/>
    <w:rsid w:val="00496C6B"/>
    <w:rsid w:val="00496F2A"/>
    <w:rsid w:val="004E00B4"/>
    <w:rsid w:val="00503980"/>
    <w:rsid w:val="00546993"/>
    <w:rsid w:val="005749A7"/>
    <w:rsid w:val="00590010"/>
    <w:rsid w:val="00592C0B"/>
    <w:rsid w:val="00595FBC"/>
    <w:rsid w:val="005D2A42"/>
    <w:rsid w:val="005F6DE9"/>
    <w:rsid w:val="006217C9"/>
    <w:rsid w:val="008162CB"/>
    <w:rsid w:val="00825CD4"/>
    <w:rsid w:val="008513C7"/>
    <w:rsid w:val="008C1B47"/>
    <w:rsid w:val="008F6107"/>
    <w:rsid w:val="009453CF"/>
    <w:rsid w:val="009C350C"/>
    <w:rsid w:val="00A47A1D"/>
    <w:rsid w:val="00A6134D"/>
    <w:rsid w:val="00A81009"/>
    <w:rsid w:val="00AF00D8"/>
    <w:rsid w:val="00B24ED0"/>
    <w:rsid w:val="00B52CE8"/>
    <w:rsid w:val="00B55316"/>
    <w:rsid w:val="00B75E5B"/>
    <w:rsid w:val="00C40C10"/>
    <w:rsid w:val="00C53B16"/>
    <w:rsid w:val="00D11621"/>
    <w:rsid w:val="00E1044C"/>
    <w:rsid w:val="00EE43F0"/>
    <w:rsid w:val="00F210D7"/>
    <w:rsid w:val="00F272BD"/>
    <w:rsid w:val="00F32B44"/>
    <w:rsid w:val="00F535A4"/>
    <w:rsid w:val="00F817F9"/>
    <w:rsid w:val="00FB50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4ADE290"/>
  <w15:docId w15:val="{E25EBCB6-FCA8-401A-BEC3-85985EAB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D0"/>
    <w:rPr>
      <w:rFonts w:ascii="Arial" w:hAnsi="Arial"/>
      <w:color w:val="646466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ED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BD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ED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CE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C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tyle">
    <w:name w:val="title style"/>
    <w:basedOn w:val="Normal"/>
    <w:autoRedefine/>
    <w:qFormat/>
    <w:rsid w:val="00142357"/>
    <w:rPr>
      <w:b/>
      <w:caps/>
      <w:color w:val="CA541E"/>
      <w:sz w:val="56"/>
    </w:rPr>
  </w:style>
  <w:style w:type="paragraph" w:styleId="NoSpacing">
    <w:name w:val="No Spacing"/>
    <w:uiPriority w:val="1"/>
    <w:qFormat/>
    <w:rsid w:val="00B24ED0"/>
    <w:pPr>
      <w:spacing w:after="0"/>
    </w:pPr>
    <w:rPr>
      <w:rFonts w:ascii="Arial" w:hAnsi="Arial"/>
      <w:color w:val="646466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4ED0"/>
    <w:rPr>
      <w:rFonts w:ascii="Arial" w:eastAsiaTheme="majorEastAsia" w:hAnsi="Arial" w:cstheme="majorBidi"/>
      <w:b/>
      <w:bCs/>
      <w:color w:val="8FBD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ED0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24ED0"/>
    <w:pPr>
      <w:spacing w:after="300"/>
      <w:contextualSpacing/>
    </w:pPr>
    <w:rPr>
      <w:rFonts w:eastAsiaTheme="majorEastAsia" w:cstheme="majorBidi"/>
      <w:color w:val="0080A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ED0"/>
    <w:rPr>
      <w:rFonts w:ascii="Arial" w:eastAsiaTheme="majorEastAsia" w:hAnsi="Arial" w:cstheme="majorBidi"/>
      <w:color w:val="0080A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ED0"/>
    <w:pPr>
      <w:numPr>
        <w:ilvl w:val="1"/>
      </w:numPr>
    </w:pPr>
    <w:rPr>
      <w:rFonts w:eastAsiaTheme="majorEastAsia" w:cstheme="majorBidi"/>
      <w:b/>
      <w:iCs/>
      <w:color w:val="0080A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ED0"/>
    <w:rPr>
      <w:rFonts w:ascii="Arial" w:eastAsiaTheme="majorEastAsia" w:hAnsi="Arial" w:cstheme="majorBidi"/>
      <w:b/>
      <w:iCs/>
      <w:color w:val="0080A9"/>
      <w:spacing w:val="15"/>
      <w:sz w:val="22"/>
      <w:szCs w:val="24"/>
    </w:rPr>
  </w:style>
  <w:style w:type="character" w:styleId="SubtleEmphasis">
    <w:name w:val="Subtle Emphasis"/>
    <w:aliases w:val="Italic"/>
    <w:basedOn w:val="DefaultParagraphFont"/>
    <w:uiPriority w:val="19"/>
    <w:rsid w:val="00B24ED0"/>
    <w:rPr>
      <w:rFonts w:ascii="Arial" w:hAnsi="Arial"/>
      <w:b w:val="0"/>
      <w:i/>
      <w:iCs/>
      <w:color w:val="646466"/>
    </w:rPr>
  </w:style>
  <w:style w:type="character" w:styleId="Emphasis">
    <w:name w:val="Emphasis"/>
    <w:aliases w:val="Bold"/>
    <w:basedOn w:val="DefaultParagraphFont"/>
    <w:uiPriority w:val="20"/>
    <w:qFormat/>
    <w:rsid w:val="00B24ED0"/>
    <w:rPr>
      <w:b/>
      <w:i w:val="0"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41F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1F6F"/>
    <w:rPr>
      <w:rFonts w:ascii="Arial" w:hAnsi="Arial"/>
      <w:color w:val="646466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F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1F6F"/>
    <w:rPr>
      <w:rFonts w:ascii="Arial" w:hAnsi="Arial"/>
      <w:color w:val="646466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F6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6F"/>
    <w:rPr>
      <w:rFonts w:ascii="Lucida Grande" w:hAnsi="Lucida Grande" w:cs="Lucida Grande"/>
      <w:color w:val="646466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52CE8"/>
    <w:rPr>
      <w:rFonts w:ascii="Arial" w:eastAsiaTheme="majorEastAsia" w:hAnsi="Arial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2C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CE8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IntenseQuote">
    <w:name w:val="Intense Quote"/>
    <w:aliases w:val="Table Data"/>
    <w:basedOn w:val="Normal"/>
    <w:next w:val="Normal"/>
    <w:link w:val="IntenseQuoteChar"/>
    <w:uiPriority w:val="30"/>
    <w:qFormat/>
    <w:rsid w:val="00B75E5B"/>
    <w:pPr>
      <w:spacing w:after="0"/>
    </w:pPr>
    <w:rPr>
      <w:rFonts w:ascii="Calibri" w:eastAsia="Times New Roman" w:hAnsi="Calibri" w:cs="Times New Roman"/>
      <w:iCs/>
      <w:color w:val="auto"/>
      <w:sz w:val="24"/>
      <w:lang w:val="en-US" w:eastAsia="en-US" w:bidi="en-US"/>
    </w:rPr>
  </w:style>
  <w:style w:type="character" w:customStyle="1" w:styleId="IntenseQuoteChar">
    <w:name w:val="Intense Quote Char"/>
    <w:aliases w:val="Table Data Char"/>
    <w:basedOn w:val="DefaultParagraphFont"/>
    <w:link w:val="IntenseQuote"/>
    <w:uiPriority w:val="30"/>
    <w:rsid w:val="00B75E5B"/>
    <w:rPr>
      <w:rFonts w:ascii="Calibri" w:eastAsia="Times New Roman" w:hAnsi="Calibri" w:cs="Times New Roman"/>
      <w:iCs/>
      <w:sz w:val="24"/>
      <w:szCs w:val="24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C1B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4462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3269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E7314-ED1E-4048-BA54-EAC13B3D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Sunderland College</Company>
  <LinksUpToDate>false</LinksUpToDate>
  <CharactersWithSpaces>5342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Burns</dc:creator>
  <cp:keywords/>
  <dc:description/>
  <cp:lastModifiedBy>Heather Harrop</cp:lastModifiedBy>
  <cp:revision>2</cp:revision>
  <cp:lastPrinted>2017-12-12T13:32:00Z</cp:lastPrinted>
  <dcterms:created xsi:type="dcterms:W3CDTF">2019-06-14T11:46:00Z</dcterms:created>
  <dcterms:modified xsi:type="dcterms:W3CDTF">2019-06-14T11:46:00Z</dcterms:modified>
  <cp:category/>
</cp:coreProperties>
</file>